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Lines w:val="0"/>
        <w:spacing w:after="0"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 EN LA QUE MANIFIESTEN QUE NO SE ENCUENTRAN EN SITUACIÓN DE INCUMPLIMIENTO CON IMCINE Y LOS FIDEICOMISOS QUE COORDINABA, EFICINE O ECHASA.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 2022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color w:val="2b2d2f"/>
          <w:sz w:val="18"/>
          <w:szCs w:val="18"/>
        </w:rPr>
      </w:pPr>
      <w:r w:rsidDel="00000000" w:rsidR="00000000" w:rsidRPr="00000000">
        <w:rPr>
          <w:color w:val="2b2d2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MARIA LUIS GABRIELA SILVIA NOVARO PEÑALOZA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2022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conformación y preservación de acervos cinematográficos.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tiene incumplimiento alguno en los programas de apoyo implementados por las distintas entidades dependientes de la Secretaría de Cultura, incluyendo FIDECINE, FOPROCINE, EFICINE, IMCINE y los Estudios Churubusco, y que no se encuentra en un proceso judicial con IMCINE. 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 de la persona física o moral que presenta el proyecto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9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v0A1wJ+53Z/4m+jdj8T6wDx+g==">AMUW2mXqXR/yOJ04nqnvHqOUFVFHitqjesLIhcrGE+yZplgHBSpA7nuqq3k/lf/W9heReFBUBeJPRWJED68s3uPEA40pwK3rzxKiV5KIOYwFuiZQMZzwufA=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