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 2025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a programas de exhibición de cine mexicano 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Lugar y fecha de elaboración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Ruta crítica según la duración del proyecto, de las etapas, actividades y fechas de exhibición, según los objetivos y lo que se pretende pagar con el recurso.</w:t>
      </w:r>
      <w:r w:rsidDel="00000000" w:rsidR="00000000" w:rsidRPr="00000000">
        <w:rPr>
          <w:b w:val="1"/>
          <w:rtl w:val="0"/>
        </w:rPr>
        <w:t xml:space="preserve"> No incluir las fechas de la aplicación a la convocatoria, la entrega de recursos, la realización o entrega informes, las fechas de pagos, ni nombres de sedes. Sólo incluir las fechas de actividades y procesos que se pretenden realizar con el apoyo solicitado.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Categoría (Producción / Preproducción): 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persona solicitante: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representante legal, en su caso: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Fechas de realización del proyecto (del inicio al fin de las actividades que se pretenden pagar con el subsidio):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Periodo tentativo de las exhibiciones: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 finalizar el documento, deberá convertirse a PDF. 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90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35"/>
        <w:gridCol w:w="1245"/>
        <w:gridCol w:w="1305"/>
        <w:gridCol w:w="1560"/>
        <w:gridCol w:w="1635"/>
        <w:gridCol w:w="1290"/>
        <w:gridCol w:w="1470"/>
        <w:gridCol w:w="1470"/>
        <w:gridCol w:w="1680"/>
        <w:tblGridChange w:id="0">
          <w:tblGrid>
            <w:gridCol w:w="1635"/>
            <w:gridCol w:w="1245"/>
            <w:gridCol w:w="1305"/>
            <w:gridCol w:w="1560"/>
            <w:gridCol w:w="1635"/>
            <w:gridCol w:w="1290"/>
            <w:gridCol w:w="1470"/>
            <w:gridCol w:w="1470"/>
            <w:gridCol w:w="1680"/>
          </w:tblGrid>
        </w:tblGridChange>
      </w:tblGrid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 2025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Semana 4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Importante: Éste es un modelo sugerido que puede adaptarse a las necesidades de cada proyecto. </w:t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MVFO0Nd3VdmhiXZ/3t4HriGFg==">CgMxLjA4AHIhMTh3R0tXT25NcEd5WXVvRzlEN0FmQjBTSkw5d1pxRzV5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